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F62" w14:textId="023D0E22" w:rsidR="004E1F9D" w:rsidRDefault="004E1F9D" w:rsidP="004E1F9D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 xml:space="preserve">Some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 xml:space="preserve">of the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notes from first reading and meeting about new materialism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, 14</w:t>
      </w:r>
      <w:r w:rsidRPr="004E1F9D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th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May,</w:t>
      </w:r>
      <w:proofErr w:type="gramEnd"/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 xml:space="preserve"> 2020</w:t>
      </w:r>
    </w:p>
    <w:p w14:paraId="7CAFC184" w14:textId="29603BE6" w:rsidR="004E1F9D" w:rsidRPr="004E1F9D" w:rsidRDefault="004E1F9D" w:rsidP="004E1F9D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E1F9D">
        <w:rPr>
          <w:rFonts w:ascii="Times New Roman" w:hAnsi="Times New Roman"/>
          <w:sz w:val="24"/>
          <w:szCs w:val="24"/>
          <w:lang w:val="en-GB"/>
        </w:rPr>
        <w:t>Wiktoria</w:t>
      </w:r>
      <w:proofErr w:type="spellEnd"/>
      <w:r w:rsidRPr="004E1F9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E1F9D">
        <w:rPr>
          <w:rFonts w:ascii="Times New Roman" w:hAnsi="Times New Roman"/>
          <w:sz w:val="24"/>
          <w:szCs w:val="24"/>
          <w:lang w:val="en-GB"/>
        </w:rPr>
        <w:t>TingTing</w:t>
      </w:r>
      <w:proofErr w:type="spellEnd"/>
      <w:r w:rsidRPr="004E1F9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E1F9D">
        <w:rPr>
          <w:rFonts w:ascii="Times New Roman" w:hAnsi="Times New Roman"/>
          <w:sz w:val="24"/>
          <w:szCs w:val="24"/>
          <w:lang w:val="en-GB"/>
        </w:rPr>
        <w:t>Gunhild</w:t>
      </w:r>
      <w:proofErr w:type="spellEnd"/>
      <w:r w:rsidRPr="004E1F9D">
        <w:rPr>
          <w:rFonts w:ascii="Times New Roman" w:hAnsi="Times New Roman"/>
          <w:sz w:val="24"/>
          <w:szCs w:val="24"/>
          <w:lang w:val="en-GB"/>
        </w:rPr>
        <w:t xml:space="preserve"> and Sanne</w:t>
      </w:r>
    </w:p>
    <w:p w14:paraId="084DBD34" w14:textId="77777777" w:rsidR="004E1F9D" w:rsidRPr="004E1F9D" w:rsidRDefault="004E1F9D" w:rsidP="004E1F9D">
      <w:pPr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72D500A" w14:textId="29097079" w:rsid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E1F9D">
        <w:rPr>
          <w:rFonts w:ascii="Times New Roman" w:hAnsi="Times New Roman"/>
          <w:sz w:val="24"/>
          <w:szCs w:val="24"/>
          <w:lang w:val="en-GB"/>
        </w:rPr>
        <w:t>TingTing</w:t>
      </w:r>
      <w:proofErr w:type="spellEnd"/>
      <w:r w:rsidRPr="004E1F9D">
        <w:rPr>
          <w:rFonts w:ascii="Times New Roman" w:hAnsi="Times New Roman"/>
          <w:sz w:val="24"/>
          <w:szCs w:val="24"/>
          <w:lang w:val="en-GB"/>
        </w:rPr>
        <w:t xml:space="preserve"> asks, what is the background of this philosophical movement and when did it come about? </w:t>
      </w:r>
      <w:r>
        <w:rPr>
          <w:rFonts w:ascii="Times New Roman" w:hAnsi="Times New Roman"/>
          <w:sz w:val="24"/>
          <w:szCs w:val="24"/>
          <w:lang w:val="en-GB"/>
        </w:rPr>
        <w:t xml:space="preserve">Seems 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like Bennet will explain more during the </w:t>
      </w:r>
      <w:r>
        <w:rPr>
          <w:rFonts w:ascii="Times New Roman" w:hAnsi="Times New Roman"/>
          <w:sz w:val="24"/>
          <w:szCs w:val="24"/>
          <w:lang w:val="en-GB"/>
        </w:rPr>
        <w:t xml:space="preserve">coming </w:t>
      </w:r>
      <w:r w:rsidRPr="004E1F9D">
        <w:rPr>
          <w:rFonts w:ascii="Times New Roman" w:hAnsi="Times New Roman"/>
          <w:sz w:val="24"/>
          <w:szCs w:val="24"/>
          <w:lang w:val="en-GB"/>
        </w:rPr>
        <w:t>chapters, so far simply sa</w:t>
      </w:r>
      <w:r>
        <w:rPr>
          <w:rFonts w:ascii="Times New Roman" w:hAnsi="Times New Roman"/>
          <w:sz w:val="24"/>
          <w:szCs w:val="24"/>
          <w:lang w:val="en-GB"/>
        </w:rPr>
        <w:t>ys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that the idea of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vibrant matter has a long philosophical history in west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and give some examples </w:t>
      </w:r>
      <w:r>
        <w:rPr>
          <w:rFonts w:ascii="Times New Roman" w:hAnsi="Times New Roman"/>
          <w:sz w:val="24"/>
          <w:szCs w:val="24"/>
          <w:lang w:val="en-GB"/>
        </w:rPr>
        <w:t>like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Spinoza, Nietzsche, Darwin, Deleuze, and more…</w:t>
      </w:r>
    </w:p>
    <w:p w14:paraId="5DF61C5E" w14:textId="610436AF" w:rsid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Looked up d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efinition 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Pr="004E1F9D">
        <w:rPr>
          <w:rFonts w:ascii="Times New Roman" w:hAnsi="Times New Roman"/>
          <w:sz w:val="24"/>
          <w:szCs w:val="24"/>
          <w:lang w:val="en-GB"/>
        </w:rPr>
        <w:t>f</w:t>
      </w:r>
      <w:r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br/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“ontology”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4E1F9D">
        <w:rPr>
          <w:rFonts w:ascii="Times New Roman" w:eastAsia="Times New Roman" w:hAnsi="Times New Roman"/>
          <w:sz w:val="24"/>
          <w:szCs w:val="24"/>
          <w:lang w:val="en" w:eastAsia="sv-SE"/>
        </w:rPr>
        <w:t xml:space="preserve">how the world or things are created and what their essential features are) 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“epistemology”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(theory of knowledge, </w:t>
      </w:r>
      <w:r w:rsidRPr="004E1F9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especially with regard to its validity and the distinction between justified belief and opinion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br/>
      </w:r>
      <w:r w:rsidRPr="004E1F9D">
        <w:rPr>
          <w:rFonts w:ascii="Times New Roman" w:hAnsi="Times New Roman"/>
          <w:sz w:val="24"/>
          <w:szCs w:val="24"/>
          <w:lang w:val="en-GB"/>
        </w:rPr>
        <w:t>after reading Bennet: “I will shift from the language of epistemology to that of ontology, from a focus on… the absolute to… vibrant matter.”</w:t>
      </w:r>
    </w:p>
    <w:p w14:paraId="0DEDAFD6" w14:textId="19819266" w:rsid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sz w:val="24"/>
          <w:szCs w:val="24"/>
          <w:lang w:val="en-GB"/>
        </w:rPr>
        <w:t xml:space="preserve">Demystifying, what is she really saying about that? Does she want to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mystify life or demystify? Or both</w:t>
      </w:r>
      <w:r w:rsidRPr="004E1F9D">
        <w:rPr>
          <w:rFonts w:ascii="Times New Roman" w:hAnsi="Times New Roman"/>
          <w:sz w:val="24"/>
          <w:szCs w:val="24"/>
          <w:lang w:val="en-GB"/>
        </w:rPr>
        <w:t>, understood in a specific way. Page xiv and onwards.</w:t>
      </w:r>
    </w:p>
    <w:p w14:paraId="1ADA1585" w14:textId="3ADB5969" w:rsidR="004E1F9D" w:rsidRP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sz w:val="24"/>
          <w:szCs w:val="24"/>
          <w:lang w:val="en-GB"/>
        </w:rPr>
        <w:t xml:space="preserve">Deep down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everything is connected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… Yes, but in what way is this not obvious? In what way does new materialism add something to this basic idea? </w:t>
      </w:r>
      <w:r>
        <w:rPr>
          <w:rFonts w:ascii="Times New Roman" w:hAnsi="Times New Roman"/>
          <w:sz w:val="24"/>
          <w:szCs w:val="24"/>
          <w:lang w:val="en-GB"/>
        </w:rPr>
        <w:t xml:space="preserve">Think </w:t>
      </w:r>
      <w:proofErr w:type="spellStart"/>
      <w:r w:rsidRPr="004E1F9D">
        <w:rPr>
          <w:rFonts w:ascii="Times New Roman" w:hAnsi="Times New Roman"/>
          <w:sz w:val="24"/>
          <w:szCs w:val="24"/>
          <w:lang w:val="en-GB"/>
        </w:rPr>
        <w:t>Wiktoria</w:t>
      </w:r>
      <w:proofErr w:type="spellEnd"/>
      <w:r w:rsidRPr="004E1F9D">
        <w:rPr>
          <w:rFonts w:ascii="Times New Roman" w:hAnsi="Times New Roman"/>
          <w:sz w:val="24"/>
          <w:szCs w:val="24"/>
          <w:lang w:val="en-GB"/>
        </w:rPr>
        <w:t xml:space="preserve"> said something about before one could say that </w:t>
      </w:r>
      <w:proofErr w:type="gramStart"/>
      <w:r w:rsidRPr="004E1F9D">
        <w:rPr>
          <w:rFonts w:ascii="Times New Roman" w:hAnsi="Times New Roman"/>
          <w:sz w:val="24"/>
          <w:szCs w:val="24"/>
          <w:lang w:val="en-GB"/>
        </w:rPr>
        <w:t>yes</w:t>
      </w:r>
      <w:proofErr w:type="gramEnd"/>
      <w:r w:rsidRPr="004E1F9D">
        <w:rPr>
          <w:rFonts w:ascii="Times New Roman" w:hAnsi="Times New Roman"/>
          <w:sz w:val="24"/>
          <w:szCs w:val="24"/>
          <w:lang w:val="en-GB"/>
        </w:rPr>
        <w:t xml:space="preserve"> the table IS. But now, with new materialism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the table is an actant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E1F9D">
        <w:rPr>
          <w:rFonts w:ascii="Times New Roman" w:hAnsi="Times New Roman"/>
          <w:sz w:val="24"/>
          <w:szCs w:val="24"/>
          <w:lang w:val="en-GB"/>
        </w:rPr>
        <w:t>Yes?</w:t>
      </w:r>
    </w:p>
    <w:p w14:paraId="17967E1E" w14:textId="4E2917C4" w:rsidR="004E1F9D" w:rsidRP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sz w:val="24"/>
          <w:szCs w:val="24"/>
          <w:lang w:val="en-GB"/>
        </w:rPr>
        <w:t xml:space="preserve">Posthumanism and new materialism –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square and rectangle</w:t>
      </w:r>
      <w:r w:rsidRPr="004E1F9D">
        <w:rPr>
          <w:rFonts w:ascii="Times New Roman" w:hAnsi="Times New Roman"/>
          <w:sz w:val="24"/>
          <w:szCs w:val="24"/>
          <w:lang w:val="en-GB"/>
        </w:rPr>
        <w:t>? Or…?</w:t>
      </w:r>
    </w:p>
    <w:p w14:paraId="70643A1D" w14:textId="3DE89007" w:rsidR="004E1F9D" w:rsidRP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sz w:val="24"/>
          <w:szCs w:val="24"/>
          <w:lang w:val="en-GB"/>
        </w:rPr>
        <w:t xml:space="preserve">We talked about how these ideas could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e</w:t>
      </w:r>
      <w:r w:rsidRPr="004E1F9D">
        <w:rPr>
          <w:rFonts w:ascii="Times New Roman" w:hAnsi="Times New Roman"/>
          <w:sz w:val="24"/>
          <w:szCs w:val="24"/>
          <w:lang w:val="en-GB"/>
        </w:rPr>
        <w:t>ffect</w:t>
      </w:r>
      <w:proofErr w:type="gramEnd"/>
      <w:r w:rsidRPr="004E1F9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or already are a part of how we approach our visual art practices. Received more information </w:t>
      </w:r>
      <w:r>
        <w:rPr>
          <w:rFonts w:ascii="Times New Roman" w:hAnsi="Times New Roman"/>
          <w:sz w:val="24"/>
          <w:szCs w:val="24"/>
          <w:lang w:val="en-GB"/>
        </w:rPr>
        <w:t xml:space="preserve">on this </w:t>
      </w:r>
      <w:r w:rsidRPr="004E1F9D">
        <w:rPr>
          <w:rFonts w:ascii="Times New Roman" w:hAnsi="Times New Roman"/>
          <w:sz w:val="24"/>
          <w:szCs w:val="24"/>
          <w:lang w:val="en-GB"/>
        </w:rPr>
        <w:t>from Eamon</w:t>
      </w:r>
      <w:r>
        <w:rPr>
          <w:rFonts w:ascii="Times New Roman" w:hAnsi="Times New Roman"/>
          <w:sz w:val="24"/>
          <w:szCs w:val="24"/>
          <w:lang w:val="en-GB"/>
        </w:rPr>
        <w:t xml:space="preserve"> during the conversation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0166A5D" w14:textId="59E59B49" w:rsidR="004E1F9D" w:rsidRP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The term political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Bennet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uses it almost like for public life, also </w:t>
      </w:r>
      <w:r>
        <w:rPr>
          <w:rFonts w:ascii="Times New Roman" w:hAnsi="Times New Roman"/>
          <w:sz w:val="24"/>
          <w:szCs w:val="24"/>
          <w:lang w:val="en-GB"/>
        </w:rPr>
        <w:t>choices that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 start with philosophy/conscious attitude towards the world around us. Her examples of political are “patterns of consumption”, “public health”, “stem cell </w:t>
      </w:r>
      <w:proofErr w:type="gramStart"/>
      <w:r w:rsidRPr="004E1F9D">
        <w:rPr>
          <w:rFonts w:ascii="Times New Roman" w:hAnsi="Times New Roman"/>
          <w:sz w:val="24"/>
          <w:szCs w:val="24"/>
          <w:lang w:val="en-GB"/>
        </w:rPr>
        <w:t>research”…</w:t>
      </w:r>
      <w:proofErr w:type="gramEnd"/>
    </w:p>
    <w:p w14:paraId="0BD73C10" w14:textId="77777777" w:rsidR="004E1F9D" w:rsidRP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sz w:val="24"/>
          <w:szCs w:val="24"/>
          <w:lang w:val="en-GB"/>
        </w:rPr>
        <w:t>“The moment when the object becomes the Other…”</w:t>
      </w:r>
    </w:p>
    <w:p w14:paraId="7C5EB1CD" w14:textId="18A06C12" w:rsidR="004E1F9D" w:rsidRP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sz w:val="24"/>
          <w:szCs w:val="24"/>
          <w:lang w:val="en-GB"/>
        </w:rPr>
        <w:t xml:space="preserve">“a vital materiality can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take shape again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… a version of this idea already found expression in childhood experiences of a world populated by animate things rather than passive objects.”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poke about in what way things now </w:t>
      </w:r>
      <w:proofErr w:type="gramStart"/>
      <w:r w:rsidRPr="004E1F9D">
        <w:rPr>
          <w:rFonts w:ascii="Times New Roman" w:hAnsi="Times New Roman"/>
          <w:sz w:val="24"/>
          <w:szCs w:val="24"/>
          <w:lang w:val="en-GB"/>
        </w:rPr>
        <w:t>can be seen as</w:t>
      </w:r>
      <w:proofErr w:type="gramEnd"/>
      <w:r w:rsidRPr="004E1F9D">
        <w:rPr>
          <w:rFonts w:ascii="Times New Roman" w:hAnsi="Times New Roman"/>
          <w:sz w:val="24"/>
          <w:szCs w:val="24"/>
          <w:lang w:val="en-GB"/>
        </w:rPr>
        <w:t xml:space="preserve"> animate, </w:t>
      </w:r>
      <w:proofErr w:type="spellStart"/>
      <w:r w:rsidRPr="004E1F9D">
        <w:rPr>
          <w:rFonts w:ascii="Times New Roman" w:hAnsi="Times New Roman"/>
          <w:sz w:val="24"/>
          <w:szCs w:val="24"/>
          <w:lang w:val="en-GB"/>
        </w:rPr>
        <w:t>Wiktoria</w:t>
      </w:r>
      <w:proofErr w:type="spellEnd"/>
      <w:r w:rsidRPr="004E1F9D">
        <w:rPr>
          <w:rFonts w:ascii="Times New Roman" w:hAnsi="Times New Roman"/>
          <w:sz w:val="24"/>
          <w:szCs w:val="24"/>
          <w:lang w:val="en-GB"/>
        </w:rPr>
        <w:t xml:space="preserve"> said something important here that I never wrote down…</w:t>
      </w:r>
    </w:p>
    <w:p w14:paraId="57D81183" w14:textId="77777777" w:rsidR="004E1F9D" w:rsidRPr="004E1F9D" w:rsidRDefault="004E1F9D" w:rsidP="004E1F9D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4E1F9D">
        <w:rPr>
          <w:rFonts w:ascii="Times New Roman" w:hAnsi="Times New Roman"/>
          <w:sz w:val="24"/>
          <w:szCs w:val="24"/>
          <w:lang w:val="en-GB"/>
        </w:rPr>
        <w:t xml:space="preserve">The thing in itself </w:t>
      </w:r>
      <w:proofErr w:type="gramStart"/>
      <w:r w:rsidRPr="004E1F9D">
        <w:rPr>
          <w:rFonts w:ascii="Times New Roman" w:hAnsi="Times New Roman"/>
          <w:sz w:val="24"/>
          <w:szCs w:val="24"/>
          <w:lang w:val="en-GB"/>
        </w:rPr>
        <w:t>and also</w:t>
      </w:r>
      <w:proofErr w:type="gramEnd"/>
      <w:r w:rsidRPr="004E1F9D">
        <w:rPr>
          <w:rFonts w:ascii="Times New Roman" w:hAnsi="Times New Roman"/>
          <w:sz w:val="24"/>
          <w:szCs w:val="24"/>
          <w:lang w:val="en-GB"/>
        </w:rPr>
        <w:t xml:space="preserve"> in connection to other things and to humans. </w:t>
      </w:r>
      <w:r w:rsidRPr="004E1F9D">
        <w:rPr>
          <w:rFonts w:ascii="Times New Roman" w:hAnsi="Times New Roman"/>
          <w:b/>
          <w:bCs/>
          <w:sz w:val="24"/>
          <w:szCs w:val="24"/>
          <w:lang w:val="en-GB"/>
        </w:rPr>
        <w:t>In betweenness</w:t>
      </w:r>
      <w:r w:rsidRPr="004E1F9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321C97D6" w14:textId="77777777" w:rsidR="00963530" w:rsidRDefault="00963530"/>
    <w:sectPr w:rsidR="0096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9BE"/>
    <w:multiLevelType w:val="hybridMultilevel"/>
    <w:tmpl w:val="51F0F53E"/>
    <w:lvl w:ilvl="0" w:tplc="B49A2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6"/>
    <w:rsid w:val="004E1F9D"/>
    <w:rsid w:val="00963530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68BA"/>
  <w15:chartTrackingRefBased/>
  <w15:docId w15:val="{CEE480D8-6153-4D27-9177-719571DE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9D"/>
    <w:pPr>
      <w:spacing w:line="25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Frostensson</dc:creator>
  <cp:keywords/>
  <dc:description/>
  <cp:lastModifiedBy>Sanne Frostensson</cp:lastModifiedBy>
  <cp:revision>2</cp:revision>
  <dcterms:created xsi:type="dcterms:W3CDTF">2020-05-14T16:58:00Z</dcterms:created>
  <dcterms:modified xsi:type="dcterms:W3CDTF">2020-05-14T17:07:00Z</dcterms:modified>
</cp:coreProperties>
</file>